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EKYA School, ITPL.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Bangalore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Fee Structure AY[24-25]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45.0" w:type="dxa"/>
        <w:jc w:val="left"/>
        <w:tblInd w:w="1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2880"/>
        <w:tblGridChange w:id="0">
          <w:tblGrid>
            <w:gridCol w:w="3165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Fee (Rs.)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  <w:t xml:space="preserve">ECMR NPS: Fee Structure AY[24-25]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  <w:t xml:space="preserve">School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